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-289" w:type="dxa"/>
        <w:tblLayout w:type="fixed"/>
        <w:tblLook w:val="04A0"/>
      </w:tblPr>
      <w:tblGrid>
        <w:gridCol w:w="1560"/>
        <w:gridCol w:w="1843"/>
        <w:gridCol w:w="5216"/>
        <w:gridCol w:w="6946"/>
      </w:tblGrid>
      <w:tr w:rsidR="001F6EF0" w:rsidRPr="000D5A92" w:rsidTr="009E5D87">
        <w:tc>
          <w:tcPr>
            <w:tcW w:w="1560" w:type="dxa"/>
          </w:tcPr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Matéria e energia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Propriedades físicas dos materiais</w:t>
            </w:r>
            <w:r w:rsidRPr="000D5A92">
              <w:rPr>
                <w:rFonts w:ascii="Arial" w:hAnsi="Arial" w:cs="Arial"/>
                <w:sz w:val="20"/>
                <w:szCs w:val="20"/>
              </w:rPr>
              <w:br/>
              <w:t>Ciclo hidrológico</w:t>
            </w:r>
            <w:r w:rsidRPr="000D5A92">
              <w:rPr>
                <w:rFonts w:ascii="Arial" w:hAnsi="Arial" w:cs="Arial"/>
                <w:sz w:val="20"/>
                <w:szCs w:val="20"/>
              </w:rPr>
              <w:br/>
              <w:t>Consumo consciente</w:t>
            </w:r>
            <w:r w:rsidRPr="000D5A92">
              <w:rPr>
                <w:rFonts w:ascii="Arial" w:hAnsi="Arial" w:cs="Arial"/>
                <w:sz w:val="20"/>
                <w:szCs w:val="20"/>
              </w:rPr>
              <w:br/>
              <w:t xml:space="preserve"> Reciclagem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16" w:type="dxa"/>
          </w:tcPr>
          <w:p w:rsidR="001F6EF0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(EF05CI01) Explorar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 xml:space="preserve">fenômenos da vida cotidiana que evidenciem propriedades físicas dos materiais – como densidade, </w:t>
            </w:r>
            <w:proofErr w:type="gramStart"/>
            <w:r w:rsidRPr="000D5A92">
              <w:rPr>
                <w:rFonts w:ascii="Arial" w:hAnsi="Arial" w:cs="Arial"/>
                <w:sz w:val="20"/>
                <w:szCs w:val="20"/>
              </w:rPr>
              <w:t>condutibilidade térmica e elétrica, respostas</w:t>
            </w:r>
            <w:proofErr w:type="gramEnd"/>
            <w:r w:rsidRPr="000D5A92">
              <w:rPr>
                <w:rFonts w:ascii="Arial" w:hAnsi="Arial" w:cs="Arial"/>
                <w:sz w:val="20"/>
                <w:szCs w:val="20"/>
              </w:rPr>
              <w:t xml:space="preserve"> a forças magnéticas, solubilidade, respostas a forças mecânicas (dureza, elasticidade etc.), entre outras.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1415" w:rsidRDefault="006F1415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EF0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(EF05CI01RS-1) Observar, através de experimentos, 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>propriedades (físicas dos materiais – noções de densidade, condutibilidade térmica e elétrica, concepção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>magnética e mecânica) da matéria de diversos objetos de uso comum.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F1415" w:rsidRDefault="006F1415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(EF05CI01RS-2) Classificar os materiais levando em consideração as suas propriedades.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</w:tcPr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 xml:space="preserve">Explorar, nesta habilidade, envolve investigar, identificar, descrever, diferenciar e comparar, selecionando informações observáveis sobre as propriedades físicas dos materiais. Relacionada à habilidade (EF02CI02), pressupõe a realização de experimentações para verificar como diversos tipos de materiais (metais, madeira, orgânicos, plásticos, entre outros) podem ser classificados de acordo com as propriedades físicas que </w:t>
            </w:r>
            <w:proofErr w:type="gramStart"/>
            <w:r w:rsidRPr="000D5A92">
              <w:rPr>
                <w:rFonts w:ascii="Arial" w:hAnsi="Arial" w:cs="Arial"/>
                <w:sz w:val="20"/>
                <w:szCs w:val="20"/>
              </w:rPr>
              <w:t>apresentam,</w:t>
            </w:r>
            <w:proofErr w:type="gramEnd"/>
            <w:r w:rsidRPr="000D5A92">
              <w:rPr>
                <w:rFonts w:ascii="Arial" w:hAnsi="Arial" w:cs="Arial"/>
                <w:sz w:val="20"/>
                <w:szCs w:val="20"/>
              </w:rPr>
              <w:t xml:space="preserve"> propriedades essas que determinam como e para quê são utilizados.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 xml:space="preserve">Na elaboração do currículo, </w:t>
            </w:r>
            <w:proofErr w:type="gramStart"/>
            <w:r w:rsidRPr="000D5A92">
              <w:rPr>
                <w:rFonts w:ascii="Arial" w:hAnsi="Arial" w:cs="Arial"/>
                <w:sz w:val="20"/>
                <w:szCs w:val="20"/>
              </w:rPr>
              <w:t>pode-se</w:t>
            </w:r>
            <w:proofErr w:type="gramEnd"/>
            <w:r w:rsidRPr="000D5A92">
              <w:rPr>
                <w:rFonts w:ascii="Arial" w:hAnsi="Arial" w:cs="Arial"/>
                <w:sz w:val="20"/>
                <w:szCs w:val="20"/>
              </w:rPr>
              <w:t xml:space="preserve"> propor habilidades relativas a atividades investigativas, como: identificar e selecionar objetos, reconhecer o uso de materiais do cotidiano ou demonstrar as propriedades físicas dos materiais sugeridos para a realização dos experimentos. Um aprofundamento importante é a observação das propriedades quanto à alteração da composição química durante o teste, se ela ocorre ou não. Pode-se estimular ainda habilidades </w:t>
            </w:r>
            <w:proofErr w:type="gramStart"/>
            <w:r w:rsidRPr="000D5A92">
              <w:rPr>
                <w:rFonts w:ascii="Arial" w:hAnsi="Arial" w:cs="Arial"/>
                <w:sz w:val="20"/>
                <w:szCs w:val="20"/>
              </w:rPr>
              <w:t>como :</w:t>
            </w:r>
            <w:proofErr w:type="gramEnd"/>
            <w:r w:rsidRPr="000D5A92">
              <w:rPr>
                <w:rFonts w:ascii="Arial" w:hAnsi="Arial" w:cs="Arial"/>
                <w:sz w:val="20"/>
                <w:szCs w:val="20"/>
              </w:rPr>
              <w:t xml:space="preserve"> identificar e relatar o uso de materiais em objetos mais utilizados no cotidiano e associar as escolhas desses materiais pela suas propriedades para o fim desejado (como, por exemplo, a condutibilidade elétrica em fiações, a dureza de determinados materiais em aplicações na infraestrutura de casas ou construção de instrumentos de trabalho no campo, na indústria, entre outras).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F6EF0" w:rsidRPr="000D5A92" w:rsidTr="009E5D87">
        <w:tc>
          <w:tcPr>
            <w:tcW w:w="1560" w:type="dxa"/>
          </w:tcPr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Matéria e energia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Propriedades físicas dos materiais</w:t>
            </w:r>
            <w:r w:rsidRPr="000D5A92">
              <w:rPr>
                <w:rFonts w:ascii="Arial" w:hAnsi="Arial" w:cs="Arial"/>
                <w:sz w:val="20"/>
                <w:szCs w:val="20"/>
              </w:rPr>
              <w:br/>
              <w:t>Ciclo hidrológico</w:t>
            </w:r>
            <w:r w:rsidRPr="000D5A92">
              <w:rPr>
                <w:rFonts w:ascii="Arial" w:hAnsi="Arial" w:cs="Arial"/>
                <w:sz w:val="20"/>
                <w:szCs w:val="20"/>
              </w:rPr>
              <w:br/>
              <w:t>Consumo consciente</w:t>
            </w:r>
            <w:r w:rsidRPr="000D5A92">
              <w:rPr>
                <w:rFonts w:ascii="Arial" w:hAnsi="Arial" w:cs="Arial"/>
                <w:sz w:val="20"/>
                <w:szCs w:val="20"/>
              </w:rPr>
              <w:br/>
              <w:t xml:space="preserve"> Reciclagem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16" w:type="dxa"/>
          </w:tcPr>
          <w:p w:rsidR="001F6EF0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(EF05CI02) Aplicar os conhecimentos sobre as mudanças de estado físico da água para explicar o ciclo hidrológico e analisar suas implicações na agricultura, no clima, na geração de energia elétrica, no provimento de água potável e no equilíbrio dos ecossistemas regionais (ou locais).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1415" w:rsidRDefault="006F1415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EF0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(EF05CI02RS-1) Identificar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>como ocorrem as mudanças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lastRenderedPageBreak/>
              <w:t>de estado físico da água.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F1415" w:rsidRDefault="006F1415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1415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(EF05CI02RS-2)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>Reconhecer o ciclo hidrológico no ambiente e suas implicações nas atividades cotidianas.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6EF0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6EF0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(EF05CI02RS-3) Conhecer os recursos hídricos e as bacias hidrográficas de sua região.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lastRenderedPageBreak/>
              <w:t xml:space="preserve">Aplicar, nesta habilidade, compreende identificar os estados físicos </w:t>
            </w:r>
            <w:proofErr w:type="gramStart"/>
            <w:r w:rsidRPr="000D5A92">
              <w:rPr>
                <w:rFonts w:ascii="Arial" w:hAnsi="Arial" w:cs="Arial"/>
                <w:sz w:val="20"/>
                <w:szCs w:val="20"/>
              </w:rPr>
              <w:t>da água  reconhecer</w:t>
            </w:r>
            <w:proofErr w:type="gramEnd"/>
            <w:r w:rsidRPr="000D5A92">
              <w:rPr>
                <w:rFonts w:ascii="Arial" w:hAnsi="Arial" w:cs="Arial"/>
                <w:sz w:val="20"/>
                <w:szCs w:val="20"/>
              </w:rPr>
              <w:t xml:space="preserve"> os processos de mudanças de estado (fusão, vaporização, solidificação, liquefação e sublimação), para que o aluno possa resolver problemas relativos a situações ou ciclos que envolvem o uso da água, como no plantio e na geração de energia.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 xml:space="preserve">Na elaboração do currículo, pode-se propor o desenvolvimento de habilidades relativas a procedimentos investigativos, como identificar e demonstrar, por meio de experimentos, a transformação e o movimento da água no ciclo hidrológico. </w:t>
            </w:r>
            <w:r w:rsidRPr="000D5A92">
              <w:rPr>
                <w:rFonts w:ascii="Arial" w:hAnsi="Arial" w:cs="Arial"/>
                <w:sz w:val="20"/>
                <w:szCs w:val="20"/>
              </w:rPr>
              <w:lastRenderedPageBreak/>
              <w:t xml:space="preserve">É possível, ainda, propor habilidades relativas ao reconhecimento das especificidades do ciclo hidrológico em diferentes localidades, com diferentes tipos de solo. Valorizar aquilo que o aluno conhece e sondar por meio de descrições as observações que podem ser realizadas no cotidiano são estratégias de contextualização do tema. O estudante pode descrever e ilustrar o ciclo da água representando os elementos do ambiente em que vive. Ainda, como </w:t>
            </w:r>
            <w:proofErr w:type="gramStart"/>
            <w:r w:rsidRPr="000D5A92">
              <w:rPr>
                <w:rFonts w:ascii="Arial" w:hAnsi="Arial" w:cs="Arial"/>
                <w:sz w:val="20"/>
                <w:szCs w:val="20"/>
              </w:rPr>
              <w:t>complementação, podem ser</w:t>
            </w:r>
            <w:proofErr w:type="gramEnd"/>
            <w:r w:rsidRPr="000D5A92">
              <w:rPr>
                <w:rFonts w:ascii="Arial" w:hAnsi="Arial" w:cs="Arial"/>
                <w:sz w:val="20"/>
                <w:szCs w:val="20"/>
              </w:rPr>
              <w:t xml:space="preserve"> construídas habilidades que contemplem atitudes sustentáveis e a compreensão do ecossistema, como: identificar as ações humanas que geram impacto no ciclo da água, provocando alterações no clima terrestre, e relatar quais consequências locais e regionais são ocasionadas pela intervenção humana ao produzir energia elétrica.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415">
              <w:rPr>
                <w:rFonts w:ascii="Arial" w:hAnsi="Arial" w:cs="Arial"/>
                <w:sz w:val="20"/>
                <w:szCs w:val="20"/>
              </w:rPr>
              <w:t>Dar ênfase às bacias hidrográficas e recursos hídricos do estado.</w:t>
            </w:r>
          </w:p>
        </w:tc>
      </w:tr>
      <w:tr w:rsidR="001F6EF0" w:rsidRPr="000D5A92" w:rsidTr="009E5D87">
        <w:tc>
          <w:tcPr>
            <w:tcW w:w="1560" w:type="dxa"/>
          </w:tcPr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lastRenderedPageBreak/>
              <w:t>Matéria e energia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Propriedades físicas dos materiais</w:t>
            </w:r>
            <w:r w:rsidRPr="000D5A92">
              <w:rPr>
                <w:rFonts w:ascii="Arial" w:hAnsi="Arial" w:cs="Arial"/>
                <w:sz w:val="20"/>
                <w:szCs w:val="20"/>
              </w:rPr>
              <w:br/>
              <w:t>Ciclo hidrológico</w:t>
            </w:r>
            <w:r w:rsidRPr="000D5A92">
              <w:rPr>
                <w:rFonts w:ascii="Arial" w:hAnsi="Arial" w:cs="Arial"/>
                <w:sz w:val="20"/>
                <w:szCs w:val="20"/>
              </w:rPr>
              <w:br/>
              <w:t>Consumo consciente</w:t>
            </w:r>
            <w:r w:rsidRPr="000D5A92">
              <w:rPr>
                <w:rFonts w:ascii="Arial" w:hAnsi="Arial" w:cs="Arial"/>
                <w:sz w:val="20"/>
                <w:szCs w:val="20"/>
              </w:rPr>
              <w:br/>
              <w:t xml:space="preserve"> Reciclagem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16" w:type="dxa"/>
          </w:tcPr>
          <w:p w:rsidR="001F6EF0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(EF05CI03) Selecionar</w:t>
            </w:r>
            <w:proofErr w:type="gramStart"/>
            <w:r w:rsidRPr="000D5A9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0D5A92">
              <w:rPr>
                <w:rFonts w:ascii="Arial" w:hAnsi="Arial" w:cs="Arial"/>
                <w:sz w:val="20"/>
                <w:szCs w:val="20"/>
              </w:rPr>
              <w:t>argumentos que justifiquem a importância da cobertura vegetal para a manutenção do ciclo da água, a conservação dos solos, dos cursos de água e da qualidade do ar atmosférico.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6EF0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(EF05CI03RS-1) Observar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>os diferentes ecossistemas.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F6EF0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(EF05CI03RS-2) Comparar os ambientes que apresentam cobertura vegetal, a desertificação e 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>que sofreram intervenção humana.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F6EF0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(EF05CI03RS-3) Compreender os impactos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>alteração do ciclo de água entendendo a importância 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>conservação de mananciais.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(EF05CI03RS-4) Propor ações reflexivas para preservação da natureza.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</w:tcPr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Selecionar, nesta habilidade, compreende identificar a importância da na preservação dos diferentes ambientes, de maneira a permitir que o aluno consiga argumentar sobre as razões contrárias ao desmatamento. Implica, ainda, que o aluno identifique o papel da cobertura vegetal no controle da erosão, na desertificação, na qualidade do ar e no ciclo da água. Isso envolve diferenciar aspectos entre o ambiente natural, que possui seu ciclo preservado, e aqueles que sofreram intervenção humana.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 xml:space="preserve">Na elaboração do currículo, </w:t>
            </w:r>
            <w:proofErr w:type="gramStart"/>
            <w:r w:rsidRPr="000D5A92">
              <w:rPr>
                <w:rFonts w:ascii="Arial" w:hAnsi="Arial" w:cs="Arial"/>
                <w:sz w:val="20"/>
                <w:szCs w:val="20"/>
              </w:rPr>
              <w:t>pode-se</w:t>
            </w:r>
            <w:proofErr w:type="gramEnd"/>
            <w:r w:rsidRPr="000D5A92">
              <w:rPr>
                <w:rFonts w:ascii="Arial" w:hAnsi="Arial" w:cs="Arial"/>
                <w:sz w:val="20"/>
                <w:szCs w:val="20"/>
              </w:rPr>
              <w:t xml:space="preserve"> propor habilidades como: representar ideias, demonstrar por meio de experimentos e pesquisar informações (por meio do uso de textos científicos, por exemplo), identificar causas e efeitos sobre o equilíbrio ambiental relacionados à cobertura vegetal, bem como reconhecer e defender atitudes sustentáveis na manutenção do ciclo da água e sua relação com a cobertura vegetal. Ainda, as atividades investigativas que permitam a identificação de agentes, fatores, vegetação </w:t>
            </w:r>
            <w:r w:rsidRPr="000D5A92">
              <w:rPr>
                <w:rFonts w:ascii="Arial" w:hAnsi="Arial" w:cs="Arial"/>
                <w:sz w:val="20"/>
                <w:szCs w:val="20"/>
              </w:rPr>
              <w:lastRenderedPageBreak/>
              <w:t>e outros elementos do ciclo no ambiente onde o aluno vive podem ser oportunidades de proposição de novas habilidades, como as de resolução de situações-problema, de busca de soluções e para a construção de argumento com base em informações confiáveis.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F6EF0" w:rsidRPr="000D5A92" w:rsidTr="009E5D87">
        <w:tc>
          <w:tcPr>
            <w:tcW w:w="1560" w:type="dxa"/>
          </w:tcPr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lastRenderedPageBreak/>
              <w:t>Matéria e energia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Propriedades físicas dos materiais</w:t>
            </w:r>
            <w:r w:rsidRPr="000D5A92">
              <w:rPr>
                <w:rFonts w:ascii="Arial" w:hAnsi="Arial" w:cs="Arial"/>
                <w:sz w:val="20"/>
                <w:szCs w:val="20"/>
              </w:rPr>
              <w:br/>
              <w:t>Ciclo hidrológico</w:t>
            </w:r>
            <w:r w:rsidRPr="000D5A92">
              <w:rPr>
                <w:rFonts w:ascii="Arial" w:hAnsi="Arial" w:cs="Arial"/>
                <w:sz w:val="20"/>
                <w:szCs w:val="20"/>
              </w:rPr>
              <w:br/>
              <w:t>Consumo consciente</w:t>
            </w:r>
            <w:r w:rsidRPr="000D5A92">
              <w:rPr>
                <w:rFonts w:ascii="Arial" w:hAnsi="Arial" w:cs="Arial"/>
                <w:sz w:val="20"/>
                <w:szCs w:val="20"/>
              </w:rPr>
              <w:br/>
              <w:t xml:space="preserve"> Reciclagem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16" w:type="dxa"/>
          </w:tcPr>
          <w:p w:rsidR="001F6EF0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(EF05CI04) Identificar os principais usos da água e de outros materiais nas atividades cotidianas para discutir e propor formas sustentáveis de utilização desses recursos.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6EF0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(EF05CI04RS-1) Pesquisar dados referentes a corpos d'água presentes em seu ambiente, como rios, lagos, mares, e o consumo de água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>no ambiente escolar e familiar.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F6EF0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(EF05CI04RS-2) Discutir e elaborar propostas de como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>promover o controle da poluição.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F6EF0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(EF05CI04RS-3)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>Reconhecer o uso de água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>associado à sua qualidade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>sustentabilidade.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F6EF0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(EF05CI04RS-4) Identificar diferentes materiais, seu descarte e possíveis maneiras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>de reutilização dos mesmos.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Identificar, nesta habilidade, envolve listar, reconhecer, descrever e selecionar procedimentos, com base em princípios de sustentabilidade, de como usar a água de modo a evitar desperdícios, reduzir a poluição, eliminar despejo e minimizar a liberação de poluentes no ambiente, de modo a protegê-lo ou restaurá-lo.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 xml:space="preserve">Na elaboração do currículo, pode-se explicitar habilidades relativas à investigação do cotidiano, </w:t>
            </w:r>
            <w:proofErr w:type="gramStart"/>
            <w:r w:rsidRPr="000D5A92">
              <w:rPr>
                <w:rFonts w:ascii="Arial" w:hAnsi="Arial" w:cs="Arial"/>
                <w:sz w:val="20"/>
                <w:szCs w:val="20"/>
              </w:rPr>
              <w:t>como :</w:t>
            </w:r>
            <w:proofErr w:type="gramEnd"/>
            <w:r w:rsidRPr="000D5A92">
              <w:rPr>
                <w:rFonts w:ascii="Arial" w:hAnsi="Arial" w:cs="Arial"/>
                <w:sz w:val="20"/>
                <w:szCs w:val="20"/>
              </w:rPr>
              <w:t xml:space="preserve"> reconhecer os tipos de corpos d'água presentes em seu ambiente, como rios, lagos e mares, e o uso dado à água no dia-a-dia das pessoas. É importante promover a avaliação dos principais usos da água com base nas práticas sustentáveis. Pode-se incentivar a redução de danos causados ao equilíbrio ecológico aquático, prevendo habilidades como: identificar ações humanas que auxiliam no controle da poluição; reconhecer que o uso da água, associado à sua qualidade e sustentabilidade, está relacionado às questões de saúde individual e coletiva. Destaque-se que valorizar aquilo que o aluno conhece ressignifica a temática. Assim, pode-se sugerir relatar e exemplificar ações e comportamentos realizados no cotidiano que </w:t>
            </w:r>
            <w:proofErr w:type="gramStart"/>
            <w:r w:rsidRPr="000D5A92">
              <w:rPr>
                <w:rFonts w:ascii="Arial" w:hAnsi="Arial" w:cs="Arial"/>
                <w:sz w:val="20"/>
                <w:szCs w:val="20"/>
              </w:rPr>
              <w:t>envolvem</w:t>
            </w:r>
            <w:proofErr w:type="gramEnd"/>
            <w:r w:rsidRPr="000D5A92">
              <w:rPr>
                <w:rFonts w:ascii="Arial" w:hAnsi="Arial" w:cs="Arial"/>
                <w:sz w:val="20"/>
                <w:szCs w:val="20"/>
              </w:rPr>
              <w:t xml:space="preserve"> o uso da água e de outros materiais.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F6EF0" w:rsidRPr="000D5A92" w:rsidTr="009E5D87">
        <w:tc>
          <w:tcPr>
            <w:tcW w:w="1560" w:type="dxa"/>
          </w:tcPr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Matéria e energia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Propriedades físicas dos materiais</w:t>
            </w:r>
            <w:r w:rsidRPr="000D5A92">
              <w:rPr>
                <w:rFonts w:ascii="Arial" w:hAnsi="Arial" w:cs="Arial"/>
                <w:sz w:val="20"/>
                <w:szCs w:val="20"/>
              </w:rPr>
              <w:br/>
              <w:t>Ciclo hidrológico</w:t>
            </w:r>
            <w:r w:rsidRPr="000D5A92">
              <w:rPr>
                <w:rFonts w:ascii="Arial" w:hAnsi="Arial" w:cs="Arial"/>
                <w:sz w:val="20"/>
                <w:szCs w:val="20"/>
              </w:rPr>
              <w:br/>
              <w:t xml:space="preserve">Consumo </w:t>
            </w:r>
            <w:r w:rsidRPr="000D5A92">
              <w:rPr>
                <w:rFonts w:ascii="Arial" w:hAnsi="Arial" w:cs="Arial"/>
                <w:sz w:val="20"/>
                <w:szCs w:val="20"/>
              </w:rPr>
              <w:lastRenderedPageBreak/>
              <w:t>consciente</w:t>
            </w:r>
            <w:r w:rsidRPr="000D5A92">
              <w:rPr>
                <w:rFonts w:ascii="Arial" w:hAnsi="Arial" w:cs="Arial"/>
                <w:sz w:val="20"/>
                <w:szCs w:val="20"/>
              </w:rPr>
              <w:br/>
              <w:t xml:space="preserve"> Reciclagem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16" w:type="dxa"/>
          </w:tcPr>
          <w:p w:rsidR="004A158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lastRenderedPageBreak/>
              <w:t>(EF05CI05) Construir propostas coletivas para um consumo mais consciente e criar soluções tecnológicas para o descarte adequado e a reutilização ou reciclagem de materiais consumidos na escola e/ou na vida cotidiana.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6EF0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lastRenderedPageBreak/>
              <w:t>(EF05CI05RS-1) Discutir formas de consumo consciente.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1582" w:rsidRDefault="004A1582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EF0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(EF05CI05RS-2) Promover a conscientização do descarte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>correto dos diferentes tipos de resíduos.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A1582" w:rsidRDefault="004A1582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158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(EF05CI05RS-3) Criar formas de sustentabilidade explorando de forma racional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>a natureza e os recursos que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>ela oferece.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1582" w:rsidRDefault="004A1582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1582" w:rsidRPr="000D5A92" w:rsidRDefault="004A1582" w:rsidP="004A15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eastAsia="Microsoft YaHei" w:hAnsi="Arial" w:cs="Arial"/>
                <w:sz w:val="20"/>
                <w:szCs w:val="20"/>
              </w:rPr>
              <w:t>(EF05CI05</w:t>
            </w:r>
            <w:r>
              <w:rPr>
                <w:rFonts w:ascii="Arial" w:eastAsia="Microsoft YaHei" w:hAnsi="Arial" w:cs="Arial"/>
                <w:sz w:val="20"/>
                <w:szCs w:val="20"/>
              </w:rPr>
              <w:t>NP-1</w:t>
            </w:r>
            <w:r w:rsidRPr="000D5A92">
              <w:rPr>
                <w:rFonts w:ascii="Arial" w:eastAsia="Microsoft YaHei" w:hAnsi="Arial" w:cs="Arial"/>
                <w:sz w:val="20"/>
                <w:szCs w:val="20"/>
              </w:rPr>
              <w:t>)</w:t>
            </w:r>
            <w:r>
              <w:rPr>
                <w:rFonts w:ascii="Arial" w:eastAsia="Microsoft YaHei" w:hAnsi="Arial" w:cs="Arial"/>
                <w:sz w:val="20"/>
                <w:szCs w:val="20"/>
              </w:rPr>
              <w:t xml:space="preserve"> Conhecer os 7R’s (r</w:t>
            </w:r>
            <w:r w:rsidRPr="004A1582">
              <w:rPr>
                <w:rFonts w:ascii="Arial" w:eastAsia="Microsoft YaHei" w:hAnsi="Arial" w:cs="Arial"/>
                <w:sz w:val="20"/>
                <w:szCs w:val="20"/>
              </w:rPr>
              <w:t>epense, reintegre, responsabilize-se, recuse, reduza, reaproveite e recicle</w:t>
            </w:r>
            <w:r>
              <w:rPr>
                <w:rFonts w:ascii="Arial" w:eastAsia="Microsoft YaHei" w:hAnsi="Arial" w:cs="Arial"/>
                <w:sz w:val="20"/>
                <w:szCs w:val="20"/>
              </w:rPr>
              <w:t>) colocando-os em prática em seu dia a dia.</w:t>
            </w:r>
          </w:p>
        </w:tc>
        <w:tc>
          <w:tcPr>
            <w:tcW w:w="6946" w:type="dxa"/>
          </w:tcPr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lastRenderedPageBreak/>
              <w:t xml:space="preserve">Construir propostas, nesta habilidade, envolve reconhecer e debater que os resíduos resultam de ações coletivas e individuais, as práticas sustentáveis e o conhecimento a respeito da escala de tempo na decomposição de materiais e objetos, de maneira a que sirvam de referência para solucionar questões relacionadas ao descarte, à reutilização ou reciclagem e </w:t>
            </w:r>
            <w:r w:rsidRPr="000D5A92">
              <w:rPr>
                <w:rFonts w:ascii="Arial" w:hAnsi="Arial" w:cs="Arial"/>
                <w:sz w:val="20"/>
                <w:szCs w:val="20"/>
              </w:rPr>
              <w:lastRenderedPageBreak/>
              <w:t>diminuição ao dano ambiental causado pelos hábitos de consumo humano.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 xml:space="preserve">Na elaboração do currículo, pode-se aprofundar o desenvolvimento de habilidades que contemplem atividades investigativas </w:t>
            </w:r>
            <w:proofErr w:type="gramStart"/>
            <w:r w:rsidRPr="000D5A92">
              <w:rPr>
                <w:rFonts w:ascii="Arial" w:hAnsi="Arial" w:cs="Arial"/>
                <w:sz w:val="20"/>
                <w:szCs w:val="20"/>
              </w:rPr>
              <w:t>como :</w:t>
            </w:r>
            <w:proofErr w:type="gramEnd"/>
            <w:r w:rsidRPr="000D5A92">
              <w:rPr>
                <w:rFonts w:ascii="Arial" w:hAnsi="Arial" w:cs="Arial"/>
                <w:sz w:val="20"/>
                <w:szCs w:val="20"/>
              </w:rPr>
              <w:t xml:space="preserve">  identificar, classificar e reconhecer os tipos de resíduos quanto aos malefícios causados à saúde humana, quanto à sua origem de acordo com seu uso no cotidiano, quanto à reutilização, reciclagem e sua destinação e quanto às possibilidades de uso sustentável, coleta seletiva e os impactos e danos causados ao ambiente que envolvem o comportamento cotidiano dos alunos e dos seres humanos em geral.  Destaque-se que o aluno pode ser estimulado ainda a criar por meio de habilidades como: propor, desenvolver, planejar e construir soluções tecnológicas na resolução do problema em questão e, ao mesmo tempo, compartilhar ideias, divulgando-as para o desenvolvimento da responsabilidade socioambiental. Há, aqui, oportunidade para o trabalho interdisciplinar com a habilidade (EF05GE11), da Geografia, associada à criação de soluções para problemas ambientais próximos à vida cotidiana do aluno.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F6EF0" w:rsidRPr="000D5A92" w:rsidTr="009E5D87">
        <w:tc>
          <w:tcPr>
            <w:tcW w:w="1560" w:type="dxa"/>
          </w:tcPr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lastRenderedPageBreak/>
              <w:t>Vida e evolução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Nutrição do organismo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br/>
              <w:t>Hábitos alimentares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br/>
              <w:t xml:space="preserve">Integração entre os sistemas </w:t>
            </w:r>
            <w:proofErr w:type="spellStart"/>
            <w:r w:rsidRPr="000D5A92">
              <w:rPr>
                <w:rFonts w:ascii="Arial" w:hAnsi="Arial" w:cs="Arial"/>
                <w:sz w:val="20"/>
                <w:szCs w:val="20"/>
              </w:rPr>
              <w:t>digestório</w:t>
            </w:r>
            <w:proofErr w:type="spellEnd"/>
            <w:r w:rsidRPr="000D5A92">
              <w:rPr>
                <w:rFonts w:ascii="Arial" w:hAnsi="Arial" w:cs="Arial"/>
                <w:sz w:val="20"/>
                <w:szCs w:val="20"/>
              </w:rPr>
              <w:t xml:space="preserve">, respiratório e </w:t>
            </w:r>
            <w:proofErr w:type="gramStart"/>
            <w:r w:rsidRPr="000D5A92">
              <w:rPr>
                <w:rFonts w:ascii="Arial" w:hAnsi="Arial" w:cs="Arial"/>
                <w:sz w:val="20"/>
                <w:szCs w:val="20"/>
              </w:rPr>
              <w:t>circulatório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16" w:type="dxa"/>
          </w:tcPr>
          <w:p w:rsidR="001F6EF0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(EF05CI06) Selecionar argumentos que justifiquem por que os sistemas digestório e respiratório são considerados corresponsáveis pelo processo de nutrição do organismo, com base na identificação das funções desses sistemas.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6EF0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 xml:space="preserve">(EF05CI06RS-1) Identificar as partes que compõem o sistema respiratório, </w:t>
            </w:r>
            <w:proofErr w:type="spellStart"/>
            <w:r w:rsidRPr="000D5A92">
              <w:rPr>
                <w:rFonts w:ascii="Arial" w:hAnsi="Arial" w:cs="Arial"/>
                <w:sz w:val="20"/>
                <w:szCs w:val="20"/>
              </w:rPr>
              <w:t>digestório</w:t>
            </w:r>
            <w:proofErr w:type="spellEnd"/>
            <w:r w:rsidRPr="000D5A92">
              <w:rPr>
                <w:rFonts w:ascii="Arial" w:hAnsi="Arial" w:cs="Arial"/>
                <w:sz w:val="20"/>
                <w:szCs w:val="20"/>
              </w:rPr>
              <w:t xml:space="preserve"> e circulatório.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6EF0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>(EF05CI06RS-2)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>Reconhecer as funções que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>cada sistema desempenha no organismo.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E5D87" w:rsidRDefault="001F6EF0" w:rsidP="006F1415">
            <w:pPr>
              <w:spacing w:line="360" w:lineRule="auto"/>
              <w:jc w:val="both"/>
              <w:rPr>
                <w:rFonts w:ascii="Arial" w:eastAsia="Garamond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 xml:space="preserve">(EF05CI06RS-3) Identificar o caminho percorrido pelo alimento no sistema digestório e o caminho percorrido </w:t>
            </w:r>
            <w:r w:rsidRPr="000D5A92">
              <w:rPr>
                <w:rFonts w:ascii="Arial" w:hAnsi="Arial" w:cs="Arial"/>
                <w:sz w:val="20"/>
                <w:szCs w:val="20"/>
              </w:rPr>
              <w:lastRenderedPageBreak/>
              <w:t>pelo gás oxigênio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>no sistema respiratório.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  <w:p w:rsidR="009E5D87" w:rsidRDefault="009E5D87" w:rsidP="006F1415">
            <w:pPr>
              <w:spacing w:line="360" w:lineRule="auto"/>
              <w:jc w:val="both"/>
              <w:rPr>
                <w:rFonts w:ascii="Arial" w:eastAsia="Garamond" w:hAnsi="Arial" w:cs="Arial"/>
                <w:sz w:val="20"/>
                <w:szCs w:val="20"/>
              </w:rPr>
            </w:pPr>
          </w:p>
          <w:p w:rsidR="009E5D87" w:rsidRDefault="007E655F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(EF05CI06</w:t>
            </w:r>
            <w:r>
              <w:rPr>
                <w:rFonts w:ascii="Arial" w:hAnsi="Arial" w:cs="Arial"/>
                <w:sz w:val="20"/>
                <w:szCs w:val="20"/>
              </w:rPr>
              <w:t>NP-1</w:t>
            </w:r>
            <w:r w:rsidRPr="000D5A9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1F6EF0" w:rsidRPr="000D5A92">
              <w:rPr>
                <w:rFonts w:ascii="Arial" w:eastAsia="Garamond" w:hAnsi="Arial" w:cs="Arial"/>
                <w:sz w:val="20"/>
                <w:szCs w:val="20"/>
              </w:rPr>
              <w:t xml:space="preserve">Identificar </w:t>
            </w:r>
            <w:r w:rsidR="001F6EF0" w:rsidRPr="000D5A92">
              <w:rPr>
                <w:rFonts w:ascii="Arial" w:eastAsia="Times New Roman" w:hAnsi="Arial" w:cs="Arial"/>
                <w:sz w:val="20"/>
                <w:szCs w:val="20"/>
              </w:rPr>
              <w:t>as partes da célula</w:t>
            </w:r>
            <w:r w:rsidR="001F6EF0" w:rsidRPr="000D5A92">
              <w:rPr>
                <w:rFonts w:ascii="Arial" w:eastAsia="Garamond" w:hAnsi="Arial" w:cs="Arial"/>
                <w:sz w:val="20"/>
                <w:szCs w:val="20"/>
              </w:rPr>
              <w:t xml:space="preserve"> e seus níveis de organização (tecido, órgão, </w:t>
            </w:r>
            <w:proofErr w:type="gramStart"/>
            <w:r w:rsidR="001F6EF0" w:rsidRPr="000D5A92">
              <w:rPr>
                <w:rFonts w:ascii="Arial" w:eastAsia="Garamond" w:hAnsi="Arial" w:cs="Arial"/>
                <w:sz w:val="20"/>
                <w:szCs w:val="20"/>
              </w:rPr>
              <w:t>sistema ...</w:t>
            </w:r>
            <w:proofErr w:type="gramEnd"/>
            <w:r w:rsidR="001F6EF0" w:rsidRPr="000D5A92">
              <w:rPr>
                <w:rFonts w:ascii="Arial" w:eastAsia="Garamond" w:hAnsi="Arial" w:cs="Arial"/>
                <w:sz w:val="20"/>
                <w:szCs w:val="20"/>
              </w:rPr>
              <w:t>)</w:t>
            </w:r>
            <w:r w:rsidR="001F6E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5D87" w:rsidRDefault="009E5D87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6EF0" w:rsidRDefault="007E655F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(EF05CI06</w:t>
            </w:r>
            <w:r>
              <w:rPr>
                <w:rFonts w:ascii="Arial" w:hAnsi="Arial" w:cs="Arial"/>
                <w:sz w:val="20"/>
                <w:szCs w:val="20"/>
              </w:rPr>
              <w:t>NP-2</w:t>
            </w:r>
            <w:r w:rsidRPr="000D5A9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1F6EF0" w:rsidRPr="000D5A92">
              <w:rPr>
                <w:rFonts w:ascii="Arial" w:hAnsi="Arial" w:cs="Arial"/>
                <w:sz w:val="20"/>
                <w:szCs w:val="20"/>
              </w:rPr>
              <w:t xml:space="preserve">Identificar as partes que compõem o sistema respiratório, </w:t>
            </w:r>
            <w:proofErr w:type="spellStart"/>
            <w:r w:rsidR="001F6EF0" w:rsidRPr="000D5A92">
              <w:rPr>
                <w:rFonts w:ascii="Arial" w:hAnsi="Arial" w:cs="Arial"/>
                <w:sz w:val="20"/>
                <w:szCs w:val="20"/>
              </w:rPr>
              <w:t>digestório</w:t>
            </w:r>
            <w:proofErr w:type="spellEnd"/>
            <w:r w:rsidR="001F6EF0" w:rsidRPr="000D5A9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circulatório, urinário, locomotor, nervoso e reprodutor</w:t>
            </w:r>
            <w:r w:rsidR="001F6EF0" w:rsidRPr="000D5A92">
              <w:rPr>
                <w:rFonts w:ascii="Arial" w:hAnsi="Arial" w:cs="Arial"/>
                <w:sz w:val="20"/>
                <w:szCs w:val="20"/>
              </w:rPr>
              <w:t xml:space="preserve">, além de suas funções. </w:t>
            </w:r>
            <w:r w:rsidR="001F6E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lastRenderedPageBreak/>
              <w:t>Selecionar, nesta habilidade, que se complementa com a (EF05CI07), envolve identificar, reconhecer, descrever e ilustrar quais as partes que compõem o sistema digestório e o respiratório, explicando suas funções relacionadas ao metabolismo do corpo, que envolvem processos mecânicos e químicos (mastigação, deglutição, movimentos peristálticos, transformação química dos alimentos, ventilação, regulação, difusão e transporte do oxigênio e do dióxido de carbono).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 xml:space="preserve">Na elaboração do currículo, é possível propor habilidades relacionadas à composição de cada sistema – digestório e respiratório -, identificando as partes e as funções desempenhadas por eles no processo de nutrição do organismo. É </w:t>
            </w:r>
            <w:proofErr w:type="gramStart"/>
            <w:r w:rsidRPr="000D5A92">
              <w:rPr>
                <w:rFonts w:ascii="Arial" w:hAnsi="Arial" w:cs="Arial"/>
                <w:sz w:val="20"/>
                <w:szCs w:val="20"/>
              </w:rPr>
              <w:t>possível ,</w:t>
            </w:r>
            <w:proofErr w:type="gramEnd"/>
            <w:r w:rsidRPr="000D5A92">
              <w:rPr>
                <w:rFonts w:ascii="Arial" w:hAnsi="Arial" w:cs="Arial"/>
                <w:sz w:val="20"/>
                <w:szCs w:val="20"/>
              </w:rPr>
              <w:t xml:space="preserve"> ainda, definir habilidades  relativas a práticas que explorem </w:t>
            </w:r>
            <w:r w:rsidRPr="000D5A92">
              <w:rPr>
                <w:rFonts w:ascii="Arial" w:hAnsi="Arial" w:cs="Arial"/>
                <w:sz w:val="20"/>
                <w:szCs w:val="20"/>
              </w:rPr>
              <w:lastRenderedPageBreak/>
              <w:t>esses sistemas quanto à sua relação com o metabolismo, como identificar, por meio de ilustrações, o caminho percorrido pelo alimento no sistema digestório ou o caminho percorrido pelo gás oxigênio no sistema respiratório. Destaque-se que esta habilidade está relacionada à (EF05CI07), e pode ser aprofundada pela perspectiva da integração com o sistema circulatório, desde que adequada ao desenvolvimento do aluno.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F6EF0" w:rsidRPr="000D5A92" w:rsidTr="009E5D87">
        <w:tc>
          <w:tcPr>
            <w:tcW w:w="1560" w:type="dxa"/>
          </w:tcPr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lastRenderedPageBreak/>
              <w:t>Vida e evolução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Nutrição do organismo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br/>
              <w:t>Hábitos alimentares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br/>
              <w:t xml:space="preserve">Integração entre os sistemas </w:t>
            </w:r>
            <w:proofErr w:type="spellStart"/>
            <w:r w:rsidRPr="000D5A92">
              <w:rPr>
                <w:rFonts w:ascii="Arial" w:hAnsi="Arial" w:cs="Arial"/>
                <w:sz w:val="20"/>
                <w:szCs w:val="20"/>
              </w:rPr>
              <w:t>digestório</w:t>
            </w:r>
            <w:proofErr w:type="spellEnd"/>
            <w:r w:rsidRPr="000D5A92">
              <w:rPr>
                <w:rFonts w:ascii="Arial" w:hAnsi="Arial" w:cs="Arial"/>
                <w:sz w:val="20"/>
                <w:szCs w:val="20"/>
              </w:rPr>
              <w:t xml:space="preserve">, respiratório e </w:t>
            </w:r>
            <w:proofErr w:type="gramStart"/>
            <w:r w:rsidRPr="000D5A92">
              <w:rPr>
                <w:rFonts w:ascii="Arial" w:hAnsi="Arial" w:cs="Arial"/>
                <w:sz w:val="20"/>
                <w:szCs w:val="20"/>
              </w:rPr>
              <w:t>circulatório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16" w:type="dxa"/>
          </w:tcPr>
          <w:p w:rsidR="009E5D87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(EF05CI07) Justificar a relação entre o funcionamento do sistema circulatório, a distribuição dos nutrientes pelo organismo e a eliminação dos resíduos produzidos.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5D87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(EF05CI07RS-1) Conhecer os sistemas e sua relação com o metabolismo do corpo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 xml:space="preserve">humano.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E5D87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(EF05CI07RS-2) Entender como suas transformações podem manter a saúde.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E5D87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(EF05CI07RS-3) Explicar o caminho que os nutrientes percorrem durante o processo de nutrição.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 xml:space="preserve">Justificar, nesta habilidade que apresenta certa complexidade, envolve avaliar, comparar, interpretar e </w:t>
            </w:r>
            <w:proofErr w:type="spellStart"/>
            <w:r w:rsidRPr="000D5A92">
              <w:rPr>
                <w:rFonts w:ascii="Arial" w:hAnsi="Arial" w:cs="Arial"/>
                <w:sz w:val="20"/>
                <w:szCs w:val="20"/>
              </w:rPr>
              <w:t>conluir</w:t>
            </w:r>
            <w:proofErr w:type="spellEnd"/>
            <w:r w:rsidRPr="000D5A92">
              <w:rPr>
                <w:rFonts w:ascii="Arial" w:hAnsi="Arial" w:cs="Arial"/>
                <w:sz w:val="20"/>
                <w:szCs w:val="20"/>
              </w:rPr>
              <w:t xml:space="preserve"> que os</w:t>
            </w:r>
            <w:proofErr w:type="gramStart"/>
            <w:r w:rsidRPr="000D5A9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0D5A92">
              <w:rPr>
                <w:rFonts w:ascii="Arial" w:hAnsi="Arial" w:cs="Arial"/>
                <w:sz w:val="20"/>
                <w:szCs w:val="20"/>
              </w:rPr>
              <w:t>sistemas digestório e circulatório são integrados, destacando o papel do coração, dos pelos vasos sanguíneos e, em especial,  do sangue, na distribuição dos nutrientes no organismo, assim como a eliminação de resíduos, o que envolve o sistema excretor.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 xml:space="preserve">Na elaboração do currículo, </w:t>
            </w:r>
            <w:proofErr w:type="gramStart"/>
            <w:r w:rsidRPr="000D5A92">
              <w:rPr>
                <w:rFonts w:ascii="Arial" w:hAnsi="Arial" w:cs="Arial"/>
                <w:sz w:val="20"/>
                <w:szCs w:val="20"/>
              </w:rPr>
              <w:t>pode-se</w:t>
            </w:r>
            <w:proofErr w:type="gramEnd"/>
            <w:r w:rsidRPr="000D5A92">
              <w:rPr>
                <w:rFonts w:ascii="Arial" w:hAnsi="Arial" w:cs="Arial"/>
                <w:sz w:val="20"/>
                <w:szCs w:val="20"/>
              </w:rPr>
              <w:t xml:space="preserve"> orientar habilidades relacionadas à composição dos sistemas circulatórios e excretor, identificando as suas partes e as funções desempenhadas por elas no processo geral de nutrição do organismo. Esta habilidade pode ser complementada por práticas que explorem esses sistemas quanto à sua relação com o metabolismo, como identificar como o sangue se relaciona à distribuição de nutrientes ou reconhecer o papel desempenhado pelo sistema circulatório nas trocas gasosas e transporte de resíduos que serão excretados pelo organismo.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F6EF0" w:rsidRPr="000D5A92" w:rsidTr="009E5D87">
        <w:tc>
          <w:tcPr>
            <w:tcW w:w="1560" w:type="dxa"/>
          </w:tcPr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Vida e evolução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Nutrição do organismo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br/>
              <w:t>Hábitos alimentares</w:t>
            </w:r>
            <w:r w:rsidRPr="000D5A92">
              <w:rPr>
                <w:rFonts w:ascii="Arial" w:hAnsi="Arial" w:cs="Arial"/>
                <w:sz w:val="20"/>
                <w:szCs w:val="20"/>
              </w:rPr>
              <w:br/>
            </w:r>
            <w:r w:rsidRPr="000D5A92">
              <w:rPr>
                <w:rFonts w:ascii="Arial" w:hAnsi="Arial" w:cs="Arial"/>
                <w:sz w:val="20"/>
                <w:szCs w:val="20"/>
              </w:rPr>
              <w:lastRenderedPageBreak/>
              <w:t xml:space="preserve">Integração entre os sistemas </w:t>
            </w:r>
            <w:proofErr w:type="spellStart"/>
            <w:r w:rsidRPr="000D5A92">
              <w:rPr>
                <w:rFonts w:ascii="Arial" w:hAnsi="Arial" w:cs="Arial"/>
                <w:sz w:val="20"/>
                <w:szCs w:val="20"/>
              </w:rPr>
              <w:t>digestório</w:t>
            </w:r>
            <w:proofErr w:type="spellEnd"/>
            <w:r w:rsidRPr="000D5A92">
              <w:rPr>
                <w:rFonts w:ascii="Arial" w:hAnsi="Arial" w:cs="Arial"/>
                <w:sz w:val="20"/>
                <w:szCs w:val="20"/>
              </w:rPr>
              <w:t xml:space="preserve">, respiratório e </w:t>
            </w:r>
            <w:proofErr w:type="gramStart"/>
            <w:r w:rsidRPr="000D5A92">
              <w:rPr>
                <w:rFonts w:ascii="Arial" w:hAnsi="Arial" w:cs="Arial"/>
                <w:sz w:val="20"/>
                <w:szCs w:val="20"/>
              </w:rPr>
              <w:t>circulatório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16" w:type="dxa"/>
          </w:tcPr>
          <w:p w:rsidR="009E5D87" w:rsidRDefault="001F6EF0" w:rsidP="006F1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D87">
              <w:rPr>
                <w:rFonts w:ascii="Arial" w:hAnsi="Arial" w:cs="Arial"/>
                <w:sz w:val="20"/>
                <w:szCs w:val="20"/>
              </w:rPr>
              <w:lastRenderedPageBreak/>
              <w:t xml:space="preserve">(EF05CI08) Organizar um cardápio equilibrado com base nas características dos grupos alimentares (nutrientes e calorias) e nas necessidades individuais (atividades realizadas, idade, sexo etc.) para a </w:t>
            </w:r>
            <w:r w:rsidRPr="009E5D87">
              <w:rPr>
                <w:rFonts w:ascii="Arial" w:hAnsi="Arial" w:cs="Arial"/>
                <w:sz w:val="20"/>
                <w:szCs w:val="20"/>
              </w:rPr>
              <w:lastRenderedPageBreak/>
              <w:t xml:space="preserve">manutenção da saúde do organismo. </w:t>
            </w:r>
          </w:p>
          <w:p w:rsidR="009E5D87" w:rsidRDefault="001F6EF0" w:rsidP="006F1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D87">
              <w:rPr>
                <w:rFonts w:ascii="Arial" w:hAnsi="Arial" w:cs="Arial"/>
                <w:sz w:val="20"/>
                <w:szCs w:val="20"/>
              </w:rPr>
              <w:t xml:space="preserve">(EF05CI08RS-1) Classificar os alimentos (proteínas, carboidratos, lipídios e vitaminas).  </w:t>
            </w:r>
          </w:p>
          <w:p w:rsidR="009E5D87" w:rsidRDefault="001F6EF0" w:rsidP="006F1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D87">
              <w:rPr>
                <w:rFonts w:ascii="Arial" w:hAnsi="Arial" w:cs="Arial"/>
                <w:sz w:val="20"/>
                <w:szCs w:val="20"/>
              </w:rPr>
              <w:t xml:space="preserve">(EF05CI08RS-2) Identificar os nutrientes presentes nos alimentos e sua importância para a saúde. </w:t>
            </w:r>
          </w:p>
          <w:p w:rsidR="009E5D87" w:rsidRDefault="001F6EF0" w:rsidP="006F1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D87">
              <w:rPr>
                <w:rFonts w:ascii="Arial" w:hAnsi="Arial" w:cs="Arial"/>
                <w:sz w:val="20"/>
                <w:szCs w:val="20"/>
              </w:rPr>
              <w:t xml:space="preserve"> (EF05CI08RS-3) Analisar como os nutrientes são aproveitados pelos sistemas do corpo humano.  </w:t>
            </w:r>
          </w:p>
          <w:p w:rsidR="001F6EF0" w:rsidRPr="009E5D87" w:rsidRDefault="001F6EF0" w:rsidP="00C73B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D87">
              <w:rPr>
                <w:rFonts w:ascii="Arial" w:hAnsi="Arial" w:cs="Arial"/>
                <w:sz w:val="20"/>
                <w:szCs w:val="20"/>
              </w:rPr>
              <w:t xml:space="preserve">(EF05CI08RS-4) Analisar a merenda oferecida pela escola e/ou sua alimentação diária e criar um cardápio equilibrado, levando em consideração os alimentos da estação. </w:t>
            </w:r>
          </w:p>
        </w:tc>
        <w:tc>
          <w:tcPr>
            <w:tcW w:w="6946" w:type="dxa"/>
          </w:tcPr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lastRenderedPageBreak/>
              <w:t xml:space="preserve">Organizar, nesta habilidade, envolve selecionar, listar e classificar os alimentos relacionando-os à quantidade de vitaminas, minerais, lipídeos, proteínas e carboidratos. O foco é comparar e construir uma dieta de acordo com as necessidades nutricionais, tendo como referência a </w:t>
            </w:r>
            <w:r w:rsidRPr="000D5A92">
              <w:rPr>
                <w:rFonts w:ascii="Arial" w:hAnsi="Arial" w:cs="Arial"/>
                <w:sz w:val="20"/>
                <w:szCs w:val="20"/>
              </w:rPr>
              <w:lastRenderedPageBreak/>
              <w:t>pirâmide alimentar.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>Na elaboração do currículo, pode-se desmembrar esta habilidade, contemplando a identificação, o reconhecimento e a comparação de hábitos de alimentação saudável. Ainda, indica-se o desenvolvimento de habilidades que tratem das principais doenças relativas ao excesso ou a carência de nutrientes e de calorias</w:t>
            </w:r>
            <w:proofErr w:type="gramStart"/>
            <w:r w:rsidRPr="000D5A9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0D5A92">
              <w:rPr>
                <w:rFonts w:ascii="Arial" w:hAnsi="Arial" w:cs="Arial"/>
                <w:sz w:val="20"/>
                <w:szCs w:val="20"/>
              </w:rPr>
              <w:t>na região onde o aluno vive, expandindo para pesquisas mais abrangentes.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F6EF0" w:rsidRPr="000D5A92" w:rsidTr="009E5D87">
        <w:tc>
          <w:tcPr>
            <w:tcW w:w="1560" w:type="dxa"/>
          </w:tcPr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lastRenderedPageBreak/>
              <w:t>Vida e evolução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Nutrição do organismo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br/>
              <w:t>Hábitos alimentares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br/>
              <w:t xml:space="preserve">Integração entre os sistemas </w:t>
            </w:r>
            <w:proofErr w:type="spellStart"/>
            <w:r w:rsidRPr="000D5A92">
              <w:rPr>
                <w:rFonts w:ascii="Arial" w:hAnsi="Arial" w:cs="Arial"/>
                <w:sz w:val="20"/>
                <w:szCs w:val="20"/>
              </w:rPr>
              <w:t>digestório</w:t>
            </w:r>
            <w:proofErr w:type="spellEnd"/>
            <w:r w:rsidRPr="000D5A92">
              <w:rPr>
                <w:rFonts w:ascii="Arial" w:hAnsi="Arial" w:cs="Arial"/>
                <w:sz w:val="20"/>
                <w:szCs w:val="20"/>
              </w:rPr>
              <w:t xml:space="preserve">, respiratório e </w:t>
            </w:r>
            <w:proofErr w:type="gramStart"/>
            <w:r w:rsidRPr="000D5A92">
              <w:rPr>
                <w:rFonts w:ascii="Arial" w:hAnsi="Arial" w:cs="Arial"/>
                <w:sz w:val="20"/>
                <w:szCs w:val="20"/>
              </w:rPr>
              <w:t>circulatório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16" w:type="dxa"/>
          </w:tcPr>
          <w:p w:rsidR="00C73BAA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(EF05CI09) Discutir a ocorrência de distúrbios nutricionais (como obesidade, subnutrição etc.) entre crianças e jovens a partir da análise de seus hábitos (tipos e quantidade de alimento ingerido, prática de atividade física etc.).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5D87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(EF05CI09RS-1) Conhecer as doenças relacionadas aos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>distúrbios nutricionais.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E5D87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(EF05CI09RS-2) Discutir sobre como os hábitos alimentares podem influenciar na saúde do aluno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>na atualidade e futuramente.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5D87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>(EF05CI09RS-3) Reconhecer a importância de uma alimentação que contemple todos os grupos da cadeia alimentar em quantidades adequadas para sua faixa etária e seu estilo de vida.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Discutir, nesta habilidade, envolve identificar e reconhecer os hábitos de vida de crianças e jovens, comparando diferentes modos de vida e dietas alimentares, para que o aluno possa explicar quais desses hábitos, modos de vida e dietas alimentares estão relacionados aos distúrbios nutricionais.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D5A92">
              <w:rPr>
                <w:rFonts w:ascii="Arial" w:hAnsi="Arial" w:cs="Arial"/>
                <w:sz w:val="20"/>
                <w:szCs w:val="20"/>
              </w:rPr>
              <w:t xml:space="preserve">Na elaboração do currículo, é possível destacar os procedimentos de investigação, como identificar e selecionar os alimentos presentes na sua alimentação diária, identificar os valores nutricionais de cada alimento selecionado a partir de sua alimentação e propor a complementação da sua dieta de modo balanceado de acordo com a pirâmide alimentar. Podem ainda ser contempladas habilidades relativas ao reconhecimento dos benefícios de uma dieta balanceada para diferentes </w:t>
            </w:r>
            <w:proofErr w:type="gramStart"/>
            <w:r w:rsidRPr="000D5A92">
              <w:rPr>
                <w:rFonts w:ascii="Arial" w:hAnsi="Arial" w:cs="Arial"/>
                <w:sz w:val="20"/>
                <w:szCs w:val="20"/>
              </w:rPr>
              <w:t>necessidades ,</w:t>
            </w:r>
            <w:proofErr w:type="gramEnd"/>
            <w:r w:rsidRPr="000D5A92">
              <w:rPr>
                <w:rFonts w:ascii="Arial" w:hAnsi="Arial" w:cs="Arial"/>
                <w:sz w:val="20"/>
                <w:szCs w:val="20"/>
              </w:rPr>
              <w:t xml:space="preserve"> combinada aos hábitos de vida para a  promoção da saúde.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F6EF0" w:rsidRPr="000D5A92" w:rsidTr="009E5D87">
        <w:tc>
          <w:tcPr>
            <w:tcW w:w="1560" w:type="dxa"/>
          </w:tcPr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 xml:space="preserve">Terra e </w:t>
            </w:r>
            <w:r w:rsidRPr="000D5A92">
              <w:rPr>
                <w:rFonts w:ascii="Arial" w:hAnsi="Arial" w:cs="Arial"/>
                <w:sz w:val="20"/>
                <w:szCs w:val="20"/>
              </w:rPr>
              <w:lastRenderedPageBreak/>
              <w:t>Universo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lastRenderedPageBreak/>
              <w:t xml:space="preserve">Constelações e </w:t>
            </w:r>
            <w:r w:rsidRPr="000D5A92">
              <w:rPr>
                <w:rFonts w:ascii="Arial" w:hAnsi="Arial" w:cs="Arial"/>
                <w:sz w:val="20"/>
                <w:szCs w:val="20"/>
              </w:rPr>
              <w:lastRenderedPageBreak/>
              <w:t>mapas celestes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0D5A92">
              <w:rPr>
                <w:rFonts w:ascii="Arial" w:hAnsi="Arial" w:cs="Arial"/>
                <w:sz w:val="20"/>
                <w:szCs w:val="20"/>
              </w:rPr>
              <w:t>Movimento</w:t>
            </w:r>
            <w:proofErr w:type="gramEnd"/>
            <w:r w:rsidRPr="000D5A92">
              <w:rPr>
                <w:rFonts w:ascii="Arial" w:hAnsi="Arial" w:cs="Arial"/>
                <w:sz w:val="20"/>
                <w:szCs w:val="20"/>
              </w:rPr>
              <w:t xml:space="preserve"> de rotação da Terra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br/>
              <w:t>Periodicidade das fases da Lua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br/>
              <w:t>Instrumentos óticos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16" w:type="dxa"/>
          </w:tcPr>
          <w:p w:rsidR="00C73BAA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lastRenderedPageBreak/>
              <w:t xml:space="preserve">(EF05CI10) Identificar algumas constelações no céu, </w:t>
            </w:r>
            <w:r w:rsidRPr="000D5A92">
              <w:rPr>
                <w:rFonts w:ascii="Arial" w:hAnsi="Arial" w:cs="Arial"/>
                <w:sz w:val="20"/>
                <w:szCs w:val="20"/>
              </w:rPr>
              <w:lastRenderedPageBreak/>
              <w:t>com o apoio de recursos (como mapas celestes e aplicativos digitais, entre outros), e os períodos do ano em que elas são visíveis no início da noite.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>(EF05CI10RS-1) Observar as principais constelações visíveis no Hemisfério Sul.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E5D87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(EF05CI10RS-2) Utilizar mapas, bússolas e aplicativos digitais para sua identificação.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73BAA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(EF05CI10RS-3)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>Reconhecer as constelações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>visíveis na sua região.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73BAA" w:rsidRDefault="00C73BAA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(EF05CI10</w:t>
            </w:r>
            <w:r>
              <w:rPr>
                <w:rFonts w:ascii="Arial" w:hAnsi="Arial" w:cs="Arial"/>
                <w:sz w:val="20"/>
                <w:szCs w:val="20"/>
              </w:rPr>
              <w:t>NP-1</w:t>
            </w:r>
            <w:r w:rsidRPr="000D5A92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Conhecer e identificar os astros que compõem o Sistema Solar, </w:t>
            </w:r>
            <w:r w:rsidR="00BF169D">
              <w:rPr>
                <w:rFonts w:ascii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hAnsi="Arial" w:cs="Arial"/>
                <w:sz w:val="20"/>
                <w:szCs w:val="20"/>
              </w:rPr>
              <w:t xml:space="preserve">teorias </w:t>
            </w:r>
            <w:r w:rsidR="00BF169D">
              <w:rPr>
                <w:rFonts w:ascii="Arial" w:hAnsi="Arial" w:cs="Arial"/>
                <w:sz w:val="20"/>
                <w:szCs w:val="20"/>
              </w:rPr>
              <w:t xml:space="preserve">do surgimento do universo e a </w:t>
            </w:r>
            <w:r>
              <w:rPr>
                <w:rFonts w:ascii="Arial" w:hAnsi="Arial" w:cs="Arial"/>
                <w:sz w:val="20"/>
                <w:szCs w:val="20"/>
              </w:rPr>
              <w:t>evolução</w:t>
            </w:r>
            <w:r w:rsidR="00BF169D">
              <w:rPr>
                <w:rFonts w:ascii="Arial" w:hAnsi="Arial" w:cs="Arial"/>
                <w:sz w:val="20"/>
                <w:szCs w:val="20"/>
              </w:rPr>
              <w:t xml:space="preserve"> do planeta Terra.</w:t>
            </w:r>
          </w:p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lastRenderedPageBreak/>
              <w:t xml:space="preserve">Identificar, nesta habilidade, requer fazer uso de representações com o </w:t>
            </w:r>
            <w:r w:rsidRPr="000D5A92">
              <w:rPr>
                <w:rFonts w:ascii="Arial" w:hAnsi="Arial" w:cs="Arial"/>
                <w:sz w:val="20"/>
                <w:szCs w:val="20"/>
              </w:rPr>
              <w:lastRenderedPageBreak/>
              <w:t>intuito de que o aluno possa localizar e reconhecer as constelações, identificando o período em que elas ficam aparentes.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 xml:space="preserve">Na elaboração do currículo, </w:t>
            </w:r>
            <w:proofErr w:type="gramStart"/>
            <w:r w:rsidRPr="000D5A92">
              <w:rPr>
                <w:rFonts w:ascii="Arial" w:hAnsi="Arial" w:cs="Arial"/>
                <w:sz w:val="20"/>
                <w:szCs w:val="20"/>
              </w:rPr>
              <w:t>pode-se</w:t>
            </w:r>
            <w:proofErr w:type="gramEnd"/>
            <w:r w:rsidRPr="000D5A92">
              <w:rPr>
                <w:rFonts w:ascii="Arial" w:hAnsi="Arial" w:cs="Arial"/>
                <w:sz w:val="20"/>
                <w:szCs w:val="20"/>
              </w:rPr>
              <w:t xml:space="preserve"> contemplar habilidades investigativas como observar e identificar, no céu da sua região, constelações presentes em mapas celestes, bem como usar aplicativos digitais para identificação de constelações no céu visível da sua cidade. Também, é possível enriquecer as habilidades trazendo elementos de diversas culturas e da influência dos corpos celestes na vida humana, em uma perspectiva histórica, e do desenvolvimento científico na observação do céu.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F6EF0" w:rsidRPr="000D5A92" w:rsidTr="009E5D87">
        <w:tc>
          <w:tcPr>
            <w:tcW w:w="1560" w:type="dxa"/>
          </w:tcPr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lastRenderedPageBreak/>
              <w:t>Terra e Universo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Constelações e mapas celestes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0D5A92">
              <w:rPr>
                <w:rFonts w:ascii="Arial" w:hAnsi="Arial" w:cs="Arial"/>
                <w:sz w:val="20"/>
                <w:szCs w:val="20"/>
              </w:rPr>
              <w:t>Movimento</w:t>
            </w:r>
            <w:proofErr w:type="gramEnd"/>
            <w:r w:rsidRPr="000D5A92">
              <w:rPr>
                <w:rFonts w:ascii="Arial" w:hAnsi="Arial" w:cs="Arial"/>
                <w:sz w:val="20"/>
                <w:szCs w:val="20"/>
              </w:rPr>
              <w:t xml:space="preserve"> de rotação da Terra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br/>
              <w:t>Periodicidade das fases da Lua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br/>
              <w:t>Instrumentos óticos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16" w:type="dxa"/>
          </w:tcPr>
          <w:p w:rsidR="009E5D87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(EF05CI11) Associar o movimento diário do Sol e das demais estrelas no céu ao movimento de rotação da Terra.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5D87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(EF05CI11RS-1)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>Compreender o movimento de rotação da Terra e implicações.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6EF0" w:rsidRDefault="001F6EF0" w:rsidP="008247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(EF05CI11RS-2) Pesquisar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>relação Sol, Lua e Terra na sua região e em diferentes culturas.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478C" w:rsidRPr="000D5A92" w:rsidRDefault="0082478C" w:rsidP="008247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1F6EF0" w:rsidRPr="000D5A92" w:rsidRDefault="001F6EF0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Associar, nesta habilidade, envolve reconhecer e explicar os movimentos de translação e rotação no sistema Sol, Terra e Lua. Ela requer que o aluno identifique evidências da rotação da Terra, que podem ser observadas pelo movimento diário da posição do Sol, na projeção de sombras e nas mudanças que ocorrem no céu visível.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 xml:space="preserve">Na elaboração do currículo, </w:t>
            </w:r>
            <w:proofErr w:type="gramStart"/>
            <w:r w:rsidRPr="000D5A92">
              <w:rPr>
                <w:rFonts w:ascii="Arial" w:hAnsi="Arial" w:cs="Arial"/>
                <w:sz w:val="20"/>
                <w:szCs w:val="20"/>
              </w:rPr>
              <w:t>pode-se</w:t>
            </w:r>
            <w:proofErr w:type="gramEnd"/>
            <w:r w:rsidRPr="000D5A92">
              <w:rPr>
                <w:rFonts w:ascii="Arial" w:hAnsi="Arial" w:cs="Arial"/>
                <w:sz w:val="20"/>
                <w:szCs w:val="20"/>
              </w:rPr>
              <w:t xml:space="preserve"> destacar habilidades relativas a atividades investigativas como observar, registrar e descrever o movimento diário do Sol e das estrelas no céu; construir e ilustrar o sistema Sol, Terra e Lua, explicando e relatando os fenômenos observados. Também, é possível enriquecer as habilidades com elementos da cultura, como comparar distintas representações dos povos em diferentes épocas sobre a relação entre o Sol, a Lua e a Terra, ou identificar aspectos culturais influenciados pela rotação da Terra, como as escalas de tempo na agricultura ou na vida humana.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E5D87" w:rsidRPr="000D5A92" w:rsidTr="009E5D87">
        <w:tc>
          <w:tcPr>
            <w:tcW w:w="1560" w:type="dxa"/>
          </w:tcPr>
          <w:p w:rsidR="009E5D87" w:rsidRPr="000D5A92" w:rsidRDefault="009E5D87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lastRenderedPageBreak/>
              <w:t>Terra e Universo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E5D87" w:rsidRPr="000D5A92" w:rsidRDefault="009E5D87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Constelações e mapas celestes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0D5A92">
              <w:rPr>
                <w:rFonts w:ascii="Arial" w:hAnsi="Arial" w:cs="Arial"/>
                <w:sz w:val="20"/>
                <w:szCs w:val="20"/>
              </w:rPr>
              <w:t>Movimento</w:t>
            </w:r>
            <w:proofErr w:type="gramEnd"/>
            <w:r w:rsidRPr="000D5A92">
              <w:rPr>
                <w:rFonts w:ascii="Arial" w:hAnsi="Arial" w:cs="Arial"/>
                <w:sz w:val="20"/>
                <w:szCs w:val="20"/>
              </w:rPr>
              <w:t xml:space="preserve"> de rotação da Terra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br/>
              <w:t>Periodicidade das fases da Lua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br/>
              <w:t>Instrumentos óticos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16" w:type="dxa"/>
          </w:tcPr>
          <w:p w:rsidR="009E5D87" w:rsidRDefault="009E5D87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(EF05CI12) Concluir sobre a periodicidade das fases da Lua, com base na observação e no registro das formas aparentes da Lua no céu ao longo de, pelo menos, dois meses.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5D87" w:rsidRDefault="009E5D87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(EF05CI12RS-1) Observar as fases da Lua.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2478C" w:rsidRDefault="009E5D87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(EF05CI12RS-2) Registrar as fases, identificando em escalas de tempo.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E5D87" w:rsidRDefault="009E5D87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(EF05CI12RS-3) Discutir a importância das fases da lua.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E5D87" w:rsidRDefault="009E5D87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(EF05CI12RS-4) Demonstrar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A92">
              <w:rPr>
                <w:rFonts w:ascii="Arial" w:hAnsi="Arial" w:cs="Arial"/>
                <w:sz w:val="20"/>
                <w:szCs w:val="20"/>
              </w:rPr>
              <w:t>as fases da lua através de aplicações no cotidiano.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5D87" w:rsidRPr="000D5A92" w:rsidRDefault="009E5D87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9E5D87" w:rsidRPr="000D5A92" w:rsidRDefault="009E5D87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>Concluir, nesta habilidade, envolve observar e identificar as fases da Lua, ilustrando na escala de tempo os horários em que a Lua é observável e os que ela não mais pode ser observada.  Também envolve explicar e representar essas fases em modelos explicativos com base nos fenômenos observados.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5D87" w:rsidRPr="000D5A92" w:rsidRDefault="009E5D87" w:rsidP="006F14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92">
              <w:rPr>
                <w:rFonts w:ascii="Arial" w:hAnsi="Arial" w:cs="Arial"/>
                <w:sz w:val="20"/>
                <w:szCs w:val="20"/>
              </w:rPr>
              <w:t xml:space="preserve">Na elaboração do currículo, pode-se estimular o desenvolvimento de habilidades investigativas com base nas informações que o aluno possui a respeito das fases da Lua e sua relação com a cultura local, de modo a identificar a influência das escalas de tempo baseadas nas fases da Lua no cotidiano e na forma de organização da vida. Pode-se propor habilidades como registrar por meio de ilustrações e identificar as fases da Lua que foram observadas durante dois meses, relacionar as fases da Lua com os ciclos de rotação e translação do sistema Sol, Terra e Lua, assim como reconhecer a periodicidade das fases da Lua e sua influência na marcação de tempo terrestre. Oportunizar discussões mediadas com os dados obtidos e as explicações construídas a partir da observação </w:t>
            </w:r>
            <w:proofErr w:type="gramStart"/>
            <w:r w:rsidRPr="000D5A92">
              <w:rPr>
                <w:rFonts w:ascii="Arial" w:hAnsi="Arial" w:cs="Arial"/>
                <w:sz w:val="20"/>
                <w:szCs w:val="20"/>
              </w:rPr>
              <w:t>são</w:t>
            </w:r>
            <w:proofErr w:type="gramEnd"/>
            <w:r w:rsidRPr="000D5A92">
              <w:rPr>
                <w:rFonts w:ascii="Arial" w:hAnsi="Arial" w:cs="Arial"/>
                <w:sz w:val="20"/>
                <w:szCs w:val="20"/>
              </w:rPr>
              <w:t xml:space="preserve"> vivências importantes para a construção de habilidades e proposição de modelos explicativos com base no sistema Sol, Terra e Lua.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C4090" w:rsidRPr="000D5A92" w:rsidRDefault="001F6EF0" w:rsidP="006F1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5C4090" w:rsidRPr="000D5A92" w:rsidSect="009E5D87">
      <w:headerReference w:type="default" r:id="rId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803" w:rsidRDefault="004A0803" w:rsidP="00677B96">
      <w:pPr>
        <w:spacing w:after="0" w:line="240" w:lineRule="auto"/>
      </w:pPr>
      <w:r>
        <w:separator/>
      </w:r>
    </w:p>
  </w:endnote>
  <w:endnote w:type="continuationSeparator" w:id="0">
    <w:p w:rsidR="004A0803" w:rsidRDefault="004A0803" w:rsidP="0067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803" w:rsidRDefault="004A0803" w:rsidP="00677B96">
      <w:pPr>
        <w:spacing w:after="0" w:line="240" w:lineRule="auto"/>
      </w:pPr>
      <w:r>
        <w:separator/>
      </w:r>
    </w:p>
  </w:footnote>
  <w:footnote w:type="continuationSeparator" w:id="0">
    <w:p w:rsidR="004A0803" w:rsidRDefault="004A0803" w:rsidP="0067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87" w:rsidRPr="00F046C4" w:rsidRDefault="009E5D87" w:rsidP="009E5D87">
    <w:pPr>
      <w:spacing w:after="0"/>
      <w:jc w:val="center"/>
      <w:rPr>
        <w:b/>
      </w:rPr>
    </w:pPr>
    <w:r>
      <w:rPr>
        <w:b/>
      </w:rPr>
      <w:t>CIÊNCIAS</w:t>
    </w:r>
    <w:r w:rsidRPr="00F046C4">
      <w:rPr>
        <w:b/>
      </w:rPr>
      <w:t xml:space="preserve"> -</w:t>
    </w:r>
    <w:r>
      <w:rPr>
        <w:b/>
      </w:rPr>
      <w:t>5</w:t>
    </w:r>
    <w:r w:rsidRPr="00F046C4">
      <w:rPr>
        <w:b/>
      </w:rPr>
      <w:t>º</w:t>
    </w:r>
    <w:proofErr w:type="gramStart"/>
    <w:r w:rsidRPr="00F046C4">
      <w:rPr>
        <w:b/>
      </w:rPr>
      <w:t xml:space="preserve">  </w:t>
    </w:r>
    <w:proofErr w:type="gramEnd"/>
    <w:r w:rsidRPr="00F046C4">
      <w:rPr>
        <w:b/>
      </w:rPr>
      <w:t>ANO</w:t>
    </w:r>
  </w:p>
  <w:tbl>
    <w:tblPr>
      <w:tblStyle w:val="Tabelacomgrade"/>
      <w:tblW w:w="0" w:type="auto"/>
      <w:tblInd w:w="-289" w:type="dxa"/>
      <w:tblLayout w:type="fixed"/>
      <w:tblLook w:val="04A0"/>
    </w:tblPr>
    <w:tblGrid>
      <w:gridCol w:w="1560"/>
      <w:gridCol w:w="1843"/>
      <w:gridCol w:w="5216"/>
      <w:gridCol w:w="6946"/>
    </w:tblGrid>
    <w:tr w:rsidR="009E5D87" w:rsidTr="006050C9">
      <w:tc>
        <w:tcPr>
          <w:tcW w:w="1560" w:type="dxa"/>
        </w:tcPr>
        <w:p w:rsidR="009E5D87" w:rsidRPr="00301C26" w:rsidRDefault="009E5D87" w:rsidP="006050C9">
          <w:pPr>
            <w:jc w:val="center"/>
            <w:rPr>
              <w:b/>
              <w:sz w:val="16"/>
              <w:szCs w:val="16"/>
            </w:rPr>
          </w:pPr>
          <w:r w:rsidRPr="00301C26">
            <w:rPr>
              <w:b/>
              <w:sz w:val="16"/>
              <w:szCs w:val="16"/>
            </w:rPr>
            <w:t>UNIDADE TEMÁTICA</w:t>
          </w:r>
        </w:p>
      </w:tc>
      <w:tc>
        <w:tcPr>
          <w:tcW w:w="1843" w:type="dxa"/>
        </w:tcPr>
        <w:p w:rsidR="009E5D87" w:rsidRPr="00F046C4" w:rsidRDefault="009E5D87" w:rsidP="006050C9">
          <w:pPr>
            <w:jc w:val="center"/>
            <w:rPr>
              <w:b/>
              <w:sz w:val="16"/>
              <w:szCs w:val="16"/>
            </w:rPr>
          </w:pPr>
          <w:r w:rsidRPr="00F046C4">
            <w:rPr>
              <w:b/>
            </w:rPr>
            <w:t>OBJETOS DE CONHECIMENTO</w:t>
          </w:r>
        </w:p>
      </w:tc>
      <w:tc>
        <w:tcPr>
          <w:tcW w:w="5216" w:type="dxa"/>
        </w:tcPr>
        <w:p w:rsidR="009E5D87" w:rsidRPr="009E5D87" w:rsidRDefault="009E5D87" w:rsidP="006050C9">
          <w:pPr>
            <w:jc w:val="center"/>
            <w:rPr>
              <w:b/>
              <w:sz w:val="20"/>
              <w:szCs w:val="20"/>
            </w:rPr>
          </w:pPr>
          <w:r w:rsidRPr="00F046C4">
            <w:rPr>
              <w:b/>
            </w:rPr>
            <w:t>HABILIDADES</w:t>
          </w:r>
          <w:proofErr w:type="gramStart"/>
          <w:r w:rsidRPr="00F046C4">
            <w:rPr>
              <w:b/>
            </w:rPr>
            <w:t xml:space="preserve"> </w:t>
          </w:r>
          <w:r>
            <w:rPr>
              <w:b/>
            </w:rPr>
            <w:t xml:space="preserve"> </w:t>
          </w:r>
          <w:proofErr w:type="gramEnd"/>
          <w:r>
            <w:rPr>
              <w:b/>
            </w:rPr>
            <w:t>BNCC</w:t>
          </w:r>
        </w:p>
      </w:tc>
      <w:tc>
        <w:tcPr>
          <w:tcW w:w="6946" w:type="dxa"/>
        </w:tcPr>
        <w:p w:rsidR="009E5D87" w:rsidRPr="002D11DB" w:rsidRDefault="009E5D87" w:rsidP="006050C9">
          <w:pPr>
            <w:jc w:val="center"/>
            <w:rPr>
              <w:b/>
            </w:rPr>
          </w:pPr>
          <w:r>
            <w:rPr>
              <w:b/>
            </w:rPr>
            <w:t>COMENTÁRIOS E POSSIBILIDADES PARA O CURRÍCULO</w:t>
          </w:r>
        </w:p>
      </w:tc>
    </w:tr>
  </w:tbl>
  <w:p w:rsidR="009E5D87" w:rsidRDefault="009E5D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14D"/>
    <w:multiLevelType w:val="hybridMultilevel"/>
    <w:tmpl w:val="0BCAB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4E48"/>
    <w:multiLevelType w:val="hybridMultilevel"/>
    <w:tmpl w:val="F17CB76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1B00"/>
    <w:multiLevelType w:val="hybridMultilevel"/>
    <w:tmpl w:val="1BB65B8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C1424"/>
    <w:multiLevelType w:val="hybridMultilevel"/>
    <w:tmpl w:val="A49090D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9051A"/>
    <w:multiLevelType w:val="hybridMultilevel"/>
    <w:tmpl w:val="C37C070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71FAF"/>
    <w:multiLevelType w:val="hybridMultilevel"/>
    <w:tmpl w:val="77880566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40F79"/>
    <w:multiLevelType w:val="hybridMultilevel"/>
    <w:tmpl w:val="AD483C8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85B8C"/>
    <w:multiLevelType w:val="hybridMultilevel"/>
    <w:tmpl w:val="C14C266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C4090"/>
    <w:rsid w:val="00005547"/>
    <w:rsid w:val="00005C54"/>
    <w:rsid w:val="00023D9A"/>
    <w:rsid w:val="00033572"/>
    <w:rsid w:val="00034DB9"/>
    <w:rsid w:val="00044DD3"/>
    <w:rsid w:val="00046830"/>
    <w:rsid w:val="000575E6"/>
    <w:rsid w:val="00063939"/>
    <w:rsid w:val="00063F7A"/>
    <w:rsid w:val="00070FCC"/>
    <w:rsid w:val="00072F3C"/>
    <w:rsid w:val="000758BA"/>
    <w:rsid w:val="00085275"/>
    <w:rsid w:val="00097443"/>
    <w:rsid w:val="000A290E"/>
    <w:rsid w:val="000A4988"/>
    <w:rsid w:val="000B425C"/>
    <w:rsid w:val="000C4D1F"/>
    <w:rsid w:val="000C5431"/>
    <w:rsid w:val="000C5632"/>
    <w:rsid w:val="000D2868"/>
    <w:rsid w:val="000D5A92"/>
    <w:rsid w:val="000E0511"/>
    <w:rsid w:val="000E27E1"/>
    <w:rsid w:val="000F45FA"/>
    <w:rsid w:val="0011445D"/>
    <w:rsid w:val="0012288C"/>
    <w:rsid w:val="00123886"/>
    <w:rsid w:val="00131658"/>
    <w:rsid w:val="001318DB"/>
    <w:rsid w:val="001360C2"/>
    <w:rsid w:val="00141322"/>
    <w:rsid w:val="0014249A"/>
    <w:rsid w:val="00173440"/>
    <w:rsid w:val="0017781F"/>
    <w:rsid w:val="001921EC"/>
    <w:rsid w:val="001935A4"/>
    <w:rsid w:val="001A1FA2"/>
    <w:rsid w:val="001E0AF1"/>
    <w:rsid w:val="001F6EF0"/>
    <w:rsid w:val="0022296D"/>
    <w:rsid w:val="0023515C"/>
    <w:rsid w:val="0026406F"/>
    <w:rsid w:val="00282005"/>
    <w:rsid w:val="00282643"/>
    <w:rsid w:val="002866A4"/>
    <w:rsid w:val="00286C59"/>
    <w:rsid w:val="002919C8"/>
    <w:rsid w:val="00293C9A"/>
    <w:rsid w:val="002A0D48"/>
    <w:rsid w:val="002A15D3"/>
    <w:rsid w:val="002A6EFD"/>
    <w:rsid w:val="002B2A47"/>
    <w:rsid w:val="002B41A8"/>
    <w:rsid w:val="002D11DB"/>
    <w:rsid w:val="002E126F"/>
    <w:rsid w:val="002F7784"/>
    <w:rsid w:val="00301C26"/>
    <w:rsid w:val="00314674"/>
    <w:rsid w:val="003162BF"/>
    <w:rsid w:val="00324B7D"/>
    <w:rsid w:val="003368D3"/>
    <w:rsid w:val="00345228"/>
    <w:rsid w:val="0035350F"/>
    <w:rsid w:val="003651D1"/>
    <w:rsid w:val="00384E88"/>
    <w:rsid w:val="00386A95"/>
    <w:rsid w:val="00394869"/>
    <w:rsid w:val="003B306D"/>
    <w:rsid w:val="003B7826"/>
    <w:rsid w:val="003C4277"/>
    <w:rsid w:val="003C4D4C"/>
    <w:rsid w:val="003D35BF"/>
    <w:rsid w:val="003D5F67"/>
    <w:rsid w:val="003F0070"/>
    <w:rsid w:val="003F0545"/>
    <w:rsid w:val="003F0B01"/>
    <w:rsid w:val="003F1FE8"/>
    <w:rsid w:val="003F580E"/>
    <w:rsid w:val="00401449"/>
    <w:rsid w:val="004039D4"/>
    <w:rsid w:val="00405A36"/>
    <w:rsid w:val="00407516"/>
    <w:rsid w:val="00414A0E"/>
    <w:rsid w:val="00424CB7"/>
    <w:rsid w:val="00425B0E"/>
    <w:rsid w:val="00432798"/>
    <w:rsid w:val="0043286A"/>
    <w:rsid w:val="004332AC"/>
    <w:rsid w:val="004372BE"/>
    <w:rsid w:val="00441DDA"/>
    <w:rsid w:val="00444AD1"/>
    <w:rsid w:val="0044722A"/>
    <w:rsid w:val="00453944"/>
    <w:rsid w:val="00457DAE"/>
    <w:rsid w:val="004633F6"/>
    <w:rsid w:val="00470677"/>
    <w:rsid w:val="00470FFD"/>
    <w:rsid w:val="00493498"/>
    <w:rsid w:val="0049789E"/>
    <w:rsid w:val="004A0803"/>
    <w:rsid w:val="004A1582"/>
    <w:rsid w:val="004B24C0"/>
    <w:rsid w:val="004B50A0"/>
    <w:rsid w:val="004C0420"/>
    <w:rsid w:val="004C0B6F"/>
    <w:rsid w:val="004C29AE"/>
    <w:rsid w:val="004C69DD"/>
    <w:rsid w:val="004D5143"/>
    <w:rsid w:val="00505A7A"/>
    <w:rsid w:val="00510170"/>
    <w:rsid w:val="00520640"/>
    <w:rsid w:val="00525332"/>
    <w:rsid w:val="00533B59"/>
    <w:rsid w:val="00540791"/>
    <w:rsid w:val="00542FF3"/>
    <w:rsid w:val="005443FB"/>
    <w:rsid w:val="00550A55"/>
    <w:rsid w:val="00554F3D"/>
    <w:rsid w:val="00567050"/>
    <w:rsid w:val="00570682"/>
    <w:rsid w:val="00577364"/>
    <w:rsid w:val="00587EC9"/>
    <w:rsid w:val="00591CC7"/>
    <w:rsid w:val="005A2EE5"/>
    <w:rsid w:val="005A3A4A"/>
    <w:rsid w:val="005A4CA4"/>
    <w:rsid w:val="005B0093"/>
    <w:rsid w:val="005B02BA"/>
    <w:rsid w:val="005B05A4"/>
    <w:rsid w:val="005C0384"/>
    <w:rsid w:val="005C36D4"/>
    <w:rsid w:val="005C4090"/>
    <w:rsid w:val="005D1766"/>
    <w:rsid w:val="005D5301"/>
    <w:rsid w:val="005E0AC6"/>
    <w:rsid w:val="005E1F11"/>
    <w:rsid w:val="005E3047"/>
    <w:rsid w:val="00600F87"/>
    <w:rsid w:val="00602174"/>
    <w:rsid w:val="00614F5A"/>
    <w:rsid w:val="006211E8"/>
    <w:rsid w:val="00621466"/>
    <w:rsid w:val="006265BC"/>
    <w:rsid w:val="00626DE1"/>
    <w:rsid w:val="00637750"/>
    <w:rsid w:val="00651C51"/>
    <w:rsid w:val="00654BDE"/>
    <w:rsid w:val="00660BD5"/>
    <w:rsid w:val="00667BAD"/>
    <w:rsid w:val="00677B96"/>
    <w:rsid w:val="00683E59"/>
    <w:rsid w:val="006927B2"/>
    <w:rsid w:val="006A43AB"/>
    <w:rsid w:val="006A4680"/>
    <w:rsid w:val="006B0F8A"/>
    <w:rsid w:val="006B6E71"/>
    <w:rsid w:val="006D5FC6"/>
    <w:rsid w:val="006F1415"/>
    <w:rsid w:val="006F61B6"/>
    <w:rsid w:val="00712FA6"/>
    <w:rsid w:val="0071638E"/>
    <w:rsid w:val="0075266B"/>
    <w:rsid w:val="00760737"/>
    <w:rsid w:val="00770D01"/>
    <w:rsid w:val="00792752"/>
    <w:rsid w:val="00795B8F"/>
    <w:rsid w:val="00796E57"/>
    <w:rsid w:val="007A5823"/>
    <w:rsid w:val="007B2649"/>
    <w:rsid w:val="007B2D8D"/>
    <w:rsid w:val="007C409F"/>
    <w:rsid w:val="007C434D"/>
    <w:rsid w:val="007E655F"/>
    <w:rsid w:val="007F69D2"/>
    <w:rsid w:val="0082478C"/>
    <w:rsid w:val="008264B3"/>
    <w:rsid w:val="008305E2"/>
    <w:rsid w:val="00832471"/>
    <w:rsid w:val="00834CFC"/>
    <w:rsid w:val="00853E8E"/>
    <w:rsid w:val="008561C9"/>
    <w:rsid w:val="008653C0"/>
    <w:rsid w:val="00866130"/>
    <w:rsid w:val="008661F5"/>
    <w:rsid w:val="00880D7D"/>
    <w:rsid w:val="00893FDD"/>
    <w:rsid w:val="008B5F53"/>
    <w:rsid w:val="008C1F18"/>
    <w:rsid w:val="008D0EFF"/>
    <w:rsid w:val="008D686A"/>
    <w:rsid w:val="008E070A"/>
    <w:rsid w:val="008E23E2"/>
    <w:rsid w:val="008F0B93"/>
    <w:rsid w:val="008F1C22"/>
    <w:rsid w:val="0091338E"/>
    <w:rsid w:val="00936D75"/>
    <w:rsid w:val="009404B1"/>
    <w:rsid w:val="00943EB5"/>
    <w:rsid w:val="00965D48"/>
    <w:rsid w:val="009943F0"/>
    <w:rsid w:val="009A20CA"/>
    <w:rsid w:val="009A6062"/>
    <w:rsid w:val="009C0A3E"/>
    <w:rsid w:val="009C3BB5"/>
    <w:rsid w:val="009D0AEF"/>
    <w:rsid w:val="009D19AD"/>
    <w:rsid w:val="009E18FC"/>
    <w:rsid w:val="009E431E"/>
    <w:rsid w:val="009E5D87"/>
    <w:rsid w:val="00A10E79"/>
    <w:rsid w:val="00A12863"/>
    <w:rsid w:val="00A139D3"/>
    <w:rsid w:val="00A148E0"/>
    <w:rsid w:val="00A174A8"/>
    <w:rsid w:val="00A179A5"/>
    <w:rsid w:val="00A3076A"/>
    <w:rsid w:val="00A40844"/>
    <w:rsid w:val="00A41316"/>
    <w:rsid w:val="00A415FD"/>
    <w:rsid w:val="00A70EB0"/>
    <w:rsid w:val="00A71F89"/>
    <w:rsid w:val="00A75CE4"/>
    <w:rsid w:val="00A76E29"/>
    <w:rsid w:val="00A82A36"/>
    <w:rsid w:val="00A85FB1"/>
    <w:rsid w:val="00A922F2"/>
    <w:rsid w:val="00AA0C50"/>
    <w:rsid w:val="00AA28C9"/>
    <w:rsid w:val="00AB0129"/>
    <w:rsid w:val="00AB3BBE"/>
    <w:rsid w:val="00AF1A9B"/>
    <w:rsid w:val="00AF3ECA"/>
    <w:rsid w:val="00AF69FC"/>
    <w:rsid w:val="00B30B06"/>
    <w:rsid w:val="00B3674E"/>
    <w:rsid w:val="00B37BC3"/>
    <w:rsid w:val="00B4371B"/>
    <w:rsid w:val="00B45CC2"/>
    <w:rsid w:val="00B52832"/>
    <w:rsid w:val="00B604D5"/>
    <w:rsid w:val="00B70165"/>
    <w:rsid w:val="00B718B9"/>
    <w:rsid w:val="00B71B13"/>
    <w:rsid w:val="00B72C69"/>
    <w:rsid w:val="00B92A7A"/>
    <w:rsid w:val="00B95D4B"/>
    <w:rsid w:val="00B96E2D"/>
    <w:rsid w:val="00BB0DBA"/>
    <w:rsid w:val="00BB4755"/>
    <w:rsid w:val="00BC20BE"/>
    <w:rsid w:val="00BC688A"/>
    <w:rsid w:val="00BF09AB"/>
    <w:rsid w:val="00BF169D"/>
    <w:rsid w:val="00C05F21"/>
    <w:rsid w:val="00C06CA0"/>
    <w:rsid w:val="00C10310"/>
    <w:rsid w:val="00C105D8"/>
    <w:rsid w:val="00C15469"/>
    <w:rsid w:val="00C236B2"/>
    <w:rsid w:val="00C404E6"/>
    <w:rsid w:val="00C600E2"/>
    <w:rsid w:val="00C71CF7"/>
    <w:rsid w:val="00C72F6D"/>
    <w:rsid w:val="00C73BAA"/>
    <w:rsid w:val="00C81144"/>
    <w:rsid w:val="00C909F7"/>
    <w:rsid w:val="00C915EE"/>
    <w:rsid w:val="00CB560D"/>
    <w:rsid w:val="00CC4740"/>
    <w:rsid w:val="00CE3CF3"/>
    <w:rsid w:val="00CF43FE"/>
    <w:rsid w:val="00D00372"/>
    <w:rsid w:val="00D10B81"/>
    <w:rsid w:val="00D14232"/>
    <w:rsid w:val="00D21523"/>
    <w:rsid w:val="00D2755F"/>
    <w:rsid w:val="00D358CB"/>
    <w:rsid w:val="00D5475A"/>
    <w:rsid w:val="00D609B7"/>
    <w:rsid w:val="00D62A4E"/>
    <w:rsid w:val="00D73C7B"/>
    <w:rsid w:val="00D80D3B"/>
    <w:rsid w:val="00D80F7E"/>
    <w:rsid w:val="00D8143F"/>
    <w:rsid w:val="00D8297D"/>
    <w:rsid w:val="00D929E5"/>
    <w:rsid w:val="00DA09B8"/>
    <w:rsid w:val="00DA0C30"/>
    <w:rsid w:val="00DA4AF0"/>
    <w:rsid w:val="00DA7540"/>
    <w:rsid w:val="00DB08F5"/>
    <w:rsid w:val="00DE43FE"/>
    <w:rsid w:val="00DE6835"/>
    <w:rsid w:val="00DE6B95"/>
    <w:rsid w:val="00DF1B48"/>
    <w:rsid w:val="00DF2544"/>
    <w:rsid w:val="00DF3E4B"/>
    <w:rsid w:val="00DF4482"/>
    <w:rsid w:val="00E02F0A"/>
    <w:rsid w:val="00E10898"/>
    <w:rsid w:val="00E11C35"/>
    <w:rsid w:val="00E268D1"/>
    <w:rsid w:val="00E32887"/>
    <w:rsid w:val="00E431A9"/>
    <w:rsid w:val="00E4543B"/>
    <w:rsid w:val="00E46700"/>
    <w:rsid w:val="00E6267A"/>
    <w:rsid w:val="00E647F9"/>
    <w:rsid w:val="00E702C1"/>
    <w:rsid w:val="00E71396"/>
    <w:rsid w:val="00E73B8B"/>
    <w:rsid w:val="00E7548F"/>
    <w:rsid w:val="00E803E1"/>
    <w:rsid w:val="00E8311A"/>
    <w:rsid w:val="00E8556F"/>
    <w:rsid w:val="00E93926"/>
    <w:rsid w:val="00EC48D2"/>
    <w:rsid w:val="00ED6273"/>
    <w:rsid w:val="00EE04FC"/>
    <w:rsid w:val="00EE36F2"/>
    <w:rsid w:val="00EF4DC2"/>
    <w:rsid w:val="00F01C04"/>
    <w:rsid w:val="00F046C4"/>
    <w:rsid w:val="00F2382F"/>
    <w:rsid w:val="00F326CF"/>
    <w:rsid w:val="00F363DF"/>
    <w:rsid w:val="00F4321F"/>
    <w:rsid w:val="00F47D1C"/>
    <w:rsid w:val="00F51252"/>
    <w:rsid w:val="00F52CB3"/>
    <w:rsid w:val="00F53CB8"/>
    <w:rsid w:val="00F8105A"/>
    <w:rsid w:val="00F84181"/>
    <w:rsid w:val="00F911B7"/>
    <w:rsid w:val="00F93AB5"/>
    <w:rsid w:val="00F93FAC"/>
    <w:rsid w:val="00F961AB"/>
    <w:rsid w:val="00FB1A7F"/>
    <w:rsid w:val="00FC0A11"/>
    <w:rsid w:val="00FC586C"/>
    <w:rsid w:val="00FD1ABC"/>
    <w:rsid w:val="00FE1E03"/>
    <w:rsid w:val="00FE6BAD"/>
    <w:rsid w:val="00FF20CF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F1F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F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1F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F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1FE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FE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B96"/>
  </w:style>
  <w:style w:type="paragraph" w:styleId="Rodap">
    <w:name w:val="footer"/>
    <w:basedOn w:val="Normal"/>
    <w:link w:val="Rodap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B96"/>
  </w:style>
  <w:style w:type="paragraph" w:styleId="PargrafodaLista">
    <w:name w:val="List Paragraph"/>
    <w:basedOn w:val="Normal"/>
    <w:uiPriority w:val="34"/>
    <w:qFormat/>
    <w:rsid w:val="007B26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B26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FE1E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247C0-7FD7-40D0-94E3-E0486CF5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3347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PM_EDU10</dc:creator>
  <cp:lastModifiedBy>User</cp:lastModifiedBy>
  <cp:revision>6</cp:revision>
  <dcterms:created xsi:type="dcterms:W3CDTF">2019-07-10T02:56:00Z</dcterms:created>
  <dcterms:modified xsi:type="dcterms:W3CDTF">2019-07-10T13:22:00Z</dcterms:modified>
</cp:coreProperties>
</file>